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0484A" w14:textId="77777777" w:rsidR="00D07E66" w:rsidRPr="00D07E66" w:rsidRDefault="00D07E66" w:rsidP="00D07E66">
      <w:pPr>
        <w:widowControl/>
        <w:jc w:val="center"/>
        <w:rPr>
          <w:rFonts w:ascii="Arial" w:eastAsia="宋体" w:hAnsi="Arial" w:cs="Arial"/>
          <w:kern w:val="0"/>
          <w:sz w:val="24"/>
          <w:szCs w:val="24"/>
        </w:rPr>
      </w:pPr>
      <w:r w:rsidRPr="00D07E66">
        <w:rPr>
          <w:rFonts w:ascii="Arial" w:eastAsia="宋体" w:hAnsi="Arial" w:cs="Arial"/>
          <w:b/>
          <w:bCs/>
          <w:kern w:val="0"/>
          <w:sz w:val="36"/>
          <w:szCs w:val="36"/>
        </w:rPr>
        <w:t>国家发展改革委</w:t>
      </w:r>
      <w:r w:rsidRPr="00D07E66">
        <w:rPr>
          <w:rFonts w:ascii="Arial" w:eastAsia="宋体" w:hAnsi="Arial" w:cs="Arial"/>
          <w:b/>
          <w:bCs/>
          <w:kern w:val="0"/>
          <w:sz w:val="36"/>
          <w:szCs w:val="36"/>
        </w:rPr>
        <w:t xml:space="preserve"> </w:t>
      </w:r>
      <w:r w:rsidRPr="00D07E66">
        <w:rPr>
          <w:rFonts w:ascii="Arial" w:eastAsia="宋体" w:hAnsi="Arial" w:cs="Arial"/>
          <w:b/>
          <w:bCs/>
          <w:kern w:val="0"/>
          <w:sz w:val="36"/>
          <w:szCs w:val="36"/>
        </w:rPr>
        <w:t>国家能源局关于促进</w:t>
      </w:r>
    </w:p>
    <w:p w14:paraId="5C1209CF" w14:textId="77777777" w:rsidR="00D07E66" w:rsidRPr="00D07E66" w:rsidRDefault="00D07E66" w:rsidP="00D07E66">
      <w:pPr>
        <w:widowControl/>
        <w:jc w:val="center"/>
        <w:rPr>
          <w:rFonts w:ascii="Arial" w:eastAsia="宋体" w:hAnsi="Arial" w:cs="Arial"/>
          <w:kern w:val="0"/>
          <w:sz w:val="24"/>
          <w:szCs w:val="24"/>
        </w:rPr>
      </w:pPr>
      <w:r w:rsidRPr="00D07E66">
        <w:rPr>
          <w:rFonts w:ascii="Arial" w:eastAsia="宋体" w:hAnsi="Arial" w:cs="Arial"/>
          <w:b/>
          <w:bCs/>
          <w:kern w:val="0"/>
          <w:sz w:val="36"/>
          <w:szCs w:val="36"/>
        </w:rPr>
        <w:t>新能源消纳和调控的指导意见</w:t>
      </w:r>
    </w:p>
    <w:p w14:paraId="3B0F3C9E" w14:textId="77777777" w:rsidR="00D07E66" w:rsidRPr="00D07E66" w:rsidRDefault="00D07E66" w:rsidP="00D07E66">
      <w:pPr>
        <w:widowControl/>
        <w:jc w:val="center"/>
        <w:rPr>
          <w:rFonts w:ascii="Arial" w:eastAsia="宋体" w:hAnsi="Arial" w:cs="Arial"/>
          <w:kern w:val="0"/>
          <w:sz w:val="24"/>
          <w:szCs w:val="24"/>
        </w:rPr>
      </w:pPr>
      <w:r w:rsidRPr="00D07E66">
        <w:rPr>
          <w:rFonts w:ascii="Arial" w:eastAsia="宋体" w:hAnsi="Arial" w:cs="Arial"/>
          <w:kern w:val="0"/>
          <w:sz w:val="24"/>
          <w:szCs w:val="24"/>
        </w:rPr>
        <w:t> </w:t>
      </w:r>
    </w:p>
    <w:p w14:paraId="52953AE3" w14:textId="77777777" w:rsidR="00D07E66" w:rsidRPr="00D07E66" w:rsidRDefault="00D07E66" w:rsidP="00D07E66">
      <w:pPr>
        <w:widowControl/>
        <w:jc w:val="center"/>
        <w:rPr>
          <w:rFonts w:ascii="Arial" w:eastAsia="宋体" w:hAnsi="Arial" w:cs="Arial"/>
          <w:kern w:val="0"/>
          <w:sz w:val="24"/>
          <w:szCs w:val="24"/>
        </w:rPr>
      </w:pPr>
      <w:proofErr w:type="gramStart"/>
      <w:r w:rsidRPr="00D07E66">
        <w:rPr>
          <w:rFonts w:ascii="Arial" w:eastAsia="宋体" w:hAnsi="Arial" w:cs="Arial"/>
          <w:kern w:val="0"/>
          <w:sz w:val="24"/>
          <w:szCs w:val="24"/>
        </w:rPr>
        <w:t>发改能源</w:t>
      </w:r>
      <w:proofErr w:type="gramEnd"/>
      <w:r w:rsidRPr="00D07E66">
        <w:rPr>
          <w:rFonts w:ascii="Arial" w:eastAsia="宋体" w:hAnsi="Arial" w:cs="Arial"/>
          <w:kern w:val="0"/>
          <w:sz w:val="24"/>
          <w:szCs w:val="24"/>
        </w:rPr>
        <w:t>〔</w:t>
      </w:r>
      <w:r w:rsidRPr="00D07E66">
        <w:rPr>
          <w:rFonts w:ascii="Arial" w:eastAsia="宋体" w:hAnsi="Arial" w:cs="Arial"/>
          <w:kern w:val="0"/>
          <w:sz w:val="24"/>
          <w:szCs w:val="24"/>
        </w:rPr>
        <w:t>2025</w:t>
      </w:r>
      <w:r w:rsidRPr="00D07E66">
        <w:rPr>
          <w:rFonts w:ascii="Arial" w:eastAsia="宋体" w:hAnsi="Arial" w:cs="Arial"/>
          <w:kern w:val="0"/>
          <w:sz w:val="24"/>
          <w:szCs w:val="24"/>
        </w:rPr>
        <w:t>〕</w:t>
      </w:r>
      <w:r w:rsidRPr="00D07E66">
        <w:rPr>
          <w:rFonts w:ascii="Arial" w:eastAsia="宋体" w:hAnsi="Arial" w:cs="Arial"/>
          <w:kern w:val="0"/>
          <w:sz w:val="24"/>
          <w:szCs w:val="24"/>
        </w:rPr>
        <w:t>1360</w:t>
      </w:r>
      <w:r w:rsidRPr="00D07E66">
        <w:rPr>
          <w:rFonts w:ascii="Arial" w:eastAsia="宋体" w:hAnsi="Arial" w:cs="Arial"/>
          <w:kern w:val="0"/>
          <w:sz w:val="24"/>
          <w:szCs w:val="24"/>
        </w:rPr>
        <w:t>号</w:t>
      </w:r>
    </w:p>
    <w:p w14:paraId="4200E6DD" w14:textId="77777777" w:rsidR="00D07E66" w:rsidRPr="00D07E66" w:rsidRDefault="00D07E66" w:rsidP="00D07E66">
      <w:pPr>
        <w:widowControl/>
        <w:spacing w:line="360" w:lineRule="auto"/>
        <w:jc w:val="left"/>
        <w:rPr>
          <w:rFonts w:ascii="宋体" w:eastAsia="宋体" w:hAnsi="宋体" w:cs="宋体"/>
          <w:kern w:val="0"/>
          <w:sz w:val="24"/>
          <w:szCs w:val="24"/>
        </w:rPr>
      </w:pPr>
      <w:r w:rsidRPr="00D07E66">
        <w:rPr>
          <w:rFonts w:ascii="Arial" w:eastAsia="宋体" w:hAnsi="Arial" w:cs="Arial"/>
          <w:kern w:val="0"/>
          <w:sz w:val="24"/>
          <w:szCs w:val="24"/>
        </w:rPr>
        <w:br/>
      </w:r>
      <w:r w:rsidRPr="00D07E66">
        <w:rPr>
          <w:rFonts w:ascii="宋体" w:eastAsia="宋体" w:hAnsi="宋体" w:cs="宋体" w:hint="eastAsia"/>
          <w:kern w:val="0"/>
          <w:sz w:val="24"/>
          <w:szCs w:val="24"/>
        </w:rPr>
        <w:t>各省、自治区、直辖市、新疆生产建设兵团发展改革委、能源局，北京市城市管理委员会，天津市工业和信息化局、辽宁省工业和信息化厅、上海市经济和信息化委员会、重庆市经济和信息化委员会、甘肃省工业和信息化厅，国家能源局各派出机构，有关中央企业：</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为全面贯彻党的二十大和二十届历次全会精神，落实《中华人民共和国能源法》，完善新能源消纳和调控政策措施，有力支撑新型能源体系和新型电力系统建设，现提出以下意见。</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 </w:t>
      </w:r>
      <w:r w:rsidRPr="00D07E66">
        <w:rPr>
          <w:rFonts w:ascii="Arial" w:eastAsia="宋体" w:hAnsi="Arial" w:cs="Arial"/>
          <w:b/>
          <w:bCs/>
          <w:kern w:val="0"/>
          <w:sz w:val="24"/>
          <w:szCs w:val="24"/>
        </w:rPr>
        <w:t>一、总体要求</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以习近平新时代中国特色社会主义思想为指导，深入落实“四个革命、一个合作”能源安全新战略，坚持系统观念、分类施策、多元消纳、市场引导、安全为基、创新驱动，完善新能源消纳举措，优化系统调控，促进新能源在大规模开发的同时实现高质量消纳。到2030年，协同高效的多层次新能源消纳调控体系基本建立，持续保障新能源顺利接网、多元利用、高效运行，新增用电量需求主要由新增新能源发电满足。新型电力系统适配能力显著增强，系统调节能力大幅提升，电力市场促进新能源消纳的机制更加健全，跨省跨区新能源交易更加顺畅，满足全国每年新增2亿千瓦以上新能源合理消纳需求，助力</w:t>
      </w:r>
      <w:proofErr w:type="gramStart"/>
      <w:r w:rsidRPr="00D07E66">
        <w:rPr>
          <w:rFonts w:ascii="宋体" w:eastAsia="宋体" w:hAnsi="宋体" w:cs="宋体" w:hint="eastAsia"/>
          <w:kern w:val="0"/>
          <w:sz w:val="24"/>
          <w:szCs w:val="24"/>
        </w:rPr>
        <w:t>实现碳达峰</w:t>
      </w:r>
      <w:proofErr w:type="gramEnd"/>
      <w:r w:rsidRPr="00D07E66">
        <w:rPr>
          <w:rFonts w:ascii="宋体" w:eastAsia="宋体" w:hAnsi="宋体" w:cs="宋体" w:hint="eastAsia"/>
          <w:kern w:val="0"/>
          <w:sz w:val="24"/>
          <w:szCs w:val="24"/>
        </w:rPr>
        <w:t>目标。到2035年，适配高比例新能源的新型电力系统基本建成，新能源消纳调控体系进一步完善，全国统一电力市场在新能源资源配置中发挥基础作用，新能源在全国范围内优化配置、高效消纳，支撑实现国家自主贡献目标。</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二、分类引导新能源开发与消纳</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（一）统筹</w:t>
      </w:r>
      <w:r w:rsidRPr="00D07E66">
        <w:rPr>
          <w:rFonts w:ascii="Arial" w:eastAsia="宋体" w:hAnsi="Arial" w:cs="Arial"/>
          <w:b/>
          <w:bCs/>
          <w:kern w:val="0"/>
          <w:sz w:val="24"/>
          <w:szCs w:val="24"/>
        </w:rPr>
        <w:t>“</w:t>
      </w:r>
      <w:r w:rsidRPr="00D07E66">
        <w:rPr>
          <w:rFonts w:ascii="Arial" w:eastAsia="宋体" w:hAnsi="Arial" w:cs="Arial"/>
          <w:b/>
          <w:bCs/>
          <w:kern w:val="0"/>
          <w:sz w:val="24"/>
          <w:szCs w:val="24"/>
        </w:rPr>
        <w:t>沙戈荒</w:t>
      </w:r>
      <w:r w:rsidRPr="00D07E66">
        <w:rPr>
          <w:rFonts w:ascii="Arial" w:eastAsia="宋体" w:hAnsi="Arial" w:cs="Arial"/>
          <w:b/>
          <w:bCs/>
          <w:kern w:val="0"/>
          <w:sz w:val="24"/>
          <w:szCs w:val="24"/>
        </w:rPr>
        <w:t>”</w:t>
      </w:r>
      <w:r w:rsidRPr="00D07E66">
        <w:rPr>
          <w:rFonts w:ascii="Arial" w:eastAsia="宋体" w:hAnsi="Arial" w:cs="Arial"/>
          <w:b/>
          <w:bCs/>
          <w:kern w:val="0"/>
          <w:sz w:val="24"/>
          <w:szCs w:val="24"/>
        </w:rPr>
        <w:t>新能源基地外送与就地消纳。</w:t>
      </w:r>
      <w:r w:rsidRPr="00D07E66">
        <w:rPr>
          <w:rFonts w:ascii="宋体" w:eastAsia="宋体" w:hAnsi="宋体" w:cs="宋体" w:hint="eastAsia"/>
          <w:kern w:val="0"/>
          <w:sz w:val="24"/>
          <w:szCs w:val="24"/>
        </w:rPr>
        <w:t>全面落实党中央防沙治沙工作决策部署和“沙戈荒”新能源基地开发布局规划，推动“沙戈荒”新能源基地外送与就地消纳并举。重点在沙漠、戈壁、荒漠、沙化、盐碱化等地</w:t>
      </w:r>
      <w:r w:rsidRPr="00D07E66">
        <w:rPr>
          <w:rFonts w:ascii="宋体" w:eastAsia="宋体" w:hAnsi="宋体" w:cs="宋体" w:hint="eastAsia"/>
          <w:kern w:val="0"/>
          <w:sz w:val="24"/>
          <w:szCs w:val="24"/>
        </w:rPr>
        <w:lastRenderedPageBreak/>
        <w:t>区，合理布局外送基地，提高基地经济性。建立送</w:t>
      </w:r>
      <w:proofErr w:type="gramStart"/>
      <w:r w:rsidRPr="00D07E66">
        <w:rPr>
          <w:rFonts w:ascii="宋体" w:eastAsia="宋体" w:hAnsi="宋体" w:cs="宋体" w:hint="eastAsia"/>
          <w:kern w:val="0"/>
          <w:sz w:val="24"/>
          <w:szCs w:val="24"/>
        </w:rPr>
        <w:t>受端落实</w:t>
      </w:r>
      <w:proofErr w:type="gramEnd"/>
      <w:r w:rsidRPr="00D07E66">
        <w:rPr>
          <w:rFonts w:ascii="宋体" w:eastAsia="宋体" w:hAnsi="宋体" w:cs="宋体" w:hint="eastAsia"/>
          <w:kern w:val="0"/>
          <w:sz w:val="24"/>
          <w:szCs w:val="24"/>
        </w:rPr>
        <w:t>国家战略责任体系，</w:t>
      </w:r>
      <w:proofErr w:type="gramStart"/>
      <w:r w:rsidRPr="00D07E66">
        <w:rPr>
          <w:rFonts w:ascii="宋体" w:eastAsia="宋体" w:hAnsi="宋体" w:cs="宋体" w:hint="eastAsia"/>
          <w:kern w:val="0"/>
          <w:sz w:val="24"/>
          <w:szCs w:val="24"/>
        </w:rPr>
        <w:t>强化受端</w:t>
      </w:r>
      <w:proofErr w:type="gramEnd"/>
      <w:r w:rsidRPr="00D07E66">
        <w:rPr>
          <w:rFonts w:ascii="宋体" w:eastAsia="宋体" w:hAnsi="宋体" w:cs="宋体" w:hint="eastAsia"/>
          <w:kern w:val="0"/>
          <w:sz w:val="24"/>
          <w:szCs w:val="24"/>
        </w:rPr>
        <w:t>新能源消纳责任。通过新能源集成发展、东部地区产业梯度转移、西部地区挖掘消</w:t>
      </w:r>
      <w:proofErr w:type="gramStart"/>
      <w:r w:rsidRPr="00D07E66">
        <w:rPr>
          <w:rFonts w:ascii="宋体" w:eastAsia="宋体" w:hAnsi="宋体" w:cs="宋体" w:hint="eastAsia"/>
          <w:kern w:val="0"/>
          <w:sz w:val="24"/>
          <w:szCs w:val="24"/>
        </w:rPr>
        <w:t>纳潜力</w:t>
      </w:r>
      <w:proofErr w:type="gramEnd"/>
      <w:r w:rsidRPr="00D07E66">
        <w:rPr>
          <w:rFonts w:ascii="宋体" w:eastAsia="宋体" w:hAnsi="宋体" w:cs="宋体" w:hint="eastAsia"/>
          <w:kern w:val="0"/>
          <w:sz w:val="24"/>
          <w:szCs w:val="24"/>
        </w:rPr>
        <w:t>等方式，促进“沙戈荒”新能源基地实现规模化就地消纳。</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（二）</w:t>
      </w:r>
      <w:proofErr w:type="gramStart"/>
      <w:r w:rsidRPr="00D07E66">
        <w:rPr>
          <w:rFonts w:ascii="Arial" w:eastAsia="宋体" w:hAnsi="Arial" w:cs="Arial"/>
          <w:b/>
          <w:bCs/>
          <w:kern w:val="0"/>
          <w:sz w:val="24"/>
          <w:szCs w:val="24"/>
        </w:rPr>
        <w:t>优化水</w:t>
      </w:r>
      <w:proofErr w:type="gramEnd"/>
      <w:r w:rsidRPr="00D07E66">
        <w:rPr>
          <w:rFonts w:ascii="Arial" w:eastAsia="宋体" w:hAnsi="Arial" w:cs="Arial"/>
          <w:b/>
          <w:bCs/>
          <w:kern w:val="0"/>
          <w:sz w:val="24"/>
          <w:szCs w:val="24"/>
        </w:rPr>
        <w:t>风光基地一体化开发与消纳。</w:t>
      </w:r>
      <w:r w:rsidRPr="00D07E66">
        <w:rPr>
          <w:rFonts w:ascii="宋体" w:eastAsia="宋体" w:hAnsi="宋体" w:cs="宋体" w:hint="eastAsia"/>
          <w:kern w:val="0"/>
          <w:sz w:val="24"/>
          <w:szCs w:val="24"/>
        </w:rPr>
        <w:t>依托西南大型水电基地，充分考虑水电调节特性，优化配置新能源。对具备条件的存量水电外送通道，合理增配新能源，提升通道利用水平。</w:t>
      </w:r>
      <w:proofErr w:type="gramStart"/>
      <w:r w:rsidRPr="00D07E66">
        <w:rPr>
          <w:rFonts w:ascii="宋体" w:eastAsia="宋体" w:hAnsi="宋体" w:cs="宋体" w:hint="eastAsia"/>
          <w:kern w:val="0"/>
          <w:sz w:val="24"/>
          <w:szCs w:val="24"/>
        </w:rPr>
        <w:t>结合雅下水电</w:t>
      </w:r>
      <w:proofErr w:type="gramEnd"/>
      <w:r w:rsidRPr="00D07E66">
        <w:rPr>
          <w:rFonts w:ascii="宋体" w:eastAsia="宋体" w:hAnsi="宋体" w:cs="宋体" w:hint="eastAsia"/>
          <w:kern w:val="0"/>
          <w:sz w:val="24"/>
          <w:szCs w:val="24"/>
        </w:rPr>
        <w:t>基地开发，优化论证新能源配置及送出消纳方案。</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（三）推动海上风</w:t>
      </w:r>
      <w:proofErr w:type="gramStart"/>
      <w:r w:rsidRPr="00D07E66">
        <w:rPr>
          <w:rFonts w:ascii="Arial" w:eastAsia="宋体" w:hAnsi="Arial" w:cs="Arial"/>
          <w:b/>
          <w:bCs/>
          <w:kern w:val="0"/>
          <w:sz w:val="24"/>
          <w:szCs w:val="24"/>
        </w:rPr>
        <w:t>电规范</w:t>
      </w:r>
      <w:proofErr w:type="gramEnd"/>
      <w:r w:rsidRPr="00D07E66">
        <w:rPr>
          <w:rFonts w:ascii="Arial" w:eastAsia="宋体" w:hAnsi="Arial" w:cs="Arial"/>
          <w:b/>
          <w:bCs/>
          <w:kern w:val="0"/>
          <w:sz w:val="24"/>
          <w:szCs w:val="24"/>
        </w:rPr>
        <w:t>有序开发与消纳。</w:t>
      </w:r>
      <w:r w:rsidRPr="00D07E66">
        <w:rPr>
          <w:rFonts w:ascii="宋体" w:eastAsia="宋体" w:hAnsi="宋体" w:cs="宋体" w:hint="eastAsia"/>
          <w:kern w:val="0"/>
          <w:sz w:val="24"/>
          <w:szCs w:val="24"/>
        </w:rPr>
        <w:t>落实海洋经济高质量发展要求，科学布局海上风电，继续推动近海风电开发，有序</w:t>
      </w:r>
      <w:proofErr w:type="gramStart"/>
      <w:r w:rsidRPr="00D07E66">
        <w:rPr>
          <w:rFonts w:ascii="宋体" w:eastAsia="宋体" w:hAnsi="宋体" w:cs="宋体" w:hint="eastAsia"/>
          <w:kern w:val="0"/>
          <w:sz w:val="24"/>
          <w:szCs w:val="24"/>
        </w:rPr>
        <w:t>推动深远海风电</w:t>
      </w:r>
      <w:proofErr w:type="gramEnd"/>
      <w:r w:rsidRPr="00D07E66">
        <w:rPr>
          <w:rFonts w:ascii="宋体" w:eastAsia="宋体" w:hAnsi="宋体" w:cs="宋体" w:hint="eastAsia"/>
          <w:kern w:val="0"/>
          <w:sz w:val="24"/>
          <w:szCs w:val="24"/>
        </w:rPr>
        <w:t>基地建设。统筹优化海上输电网络，集约化</w:t>
      </w:r>
      <w:proofErr w:type="gramStart"/>
      <w:r w:rsidRPr="00D07E66">
        <w:rPr>
          <w:rFonts w:ascii="宋体" w:eastAsia="宋体" w:hAnsi="宋体" w:cs="宋体" w:hint="eastAsia"/>
          <w:kern w:val="0"/>
          <w:sz w:val="24"/>
          <w:szCs w:val="24"/>
        </w:rPr>
        <w:t>布局海</w:t>
      </w:r>
      <w:proofErr w:type="gramEnd"/>
      <w:r w:rsidRPr="00D07E66">
        <w:rPr>
          <w:rFonts w:ascii="宋体" w:eastAsia="宋体" w:hAnsi="宋体" w:cs="宋体" w:hint="eastAsia"/>
          <w:kern w:val="0"/>
          <w:sz w:val="24"/>
          <w:szCs w:val="24"/>
        </w:rPr>
        <w:t>缆廊道和登陆点，实现海上风电基地集中送出，主要在沿海地区就近消纳。</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 </w:t>
      </w:r>
      <w:r w:rsidRPr="00D07E66">
        <w:rPr>
          <w:rFonts w:ascii="Arial" w:eastAsia="宋体" w:hAnsi="Arial" w:cs="Arial"/>
          <w:b/>
          <w:bCs/>
          <w:kern w:val="0"/>
          <w:sz w:val="24"/>
          <w:szCs w:val="24"/>
        </w:rPr>
        <w:t>（四）科学高效推动省内集中式新能源开发与消纳。</w:t>
      </w:r>
      <w:r w:rsidRPr="00D07E66">
        <w:rPr>
          <w:rFonts w:ascii="宋体" w:eastAsia="宋体" w:hAnsi="宋体" w:cs="宋体" w:hint="eastAsia"/>
          <w:kern w:val="0"/>
          <w:sz w:val="24"/>
          <w:szCs w:val="24"/>
        </w:rPr>
        <w:t>综合考虑资源条件、用电增长，结合可再生能源电力消纳责任权重落实要求，科学布局省内集中式新能源，优化开发结构、合理把握建设节奏，加强调节能力建设，提升电网承载力，确保新能源高效消纳。做好新能源资源普查试点。</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 </w:t>
      </w:r>
      <w:r w:rsidRPr="00D07E66">
        <w:rPr>
          <w:rFonts w:ascii="Arial" w:eastAsia="宋体" w:hAnsi="Arial" w:cs="Arial"/>
          <w:b/>
          <w:bCs/>
          <w:kern w:val="0"/>
          <w:sz w:val="24"/>
          <w:szCs w:val="24"/>
        </w:rPr>
        <w:t>（五）积极拓展分布式新能源开发与消纳空间。</w:t>
      </w:r>
      <w:r w:rsidRPr="00D07E66">
        <w:rPr>
          <w:rFonts w:ascii="宋体" w:eastAsia="宋体" w:hAnsi="宋体" w:cs="宋体" w:hint="eastAsia"/>
          <w:kern w:val="0"/>
          <w:sz w:val="24"/>
          <w:szCs w:val="24"/>
        </w:rPr>
        <w:t>充分挖掘分布式新能源资源潜力，拓展分布式新能源开发场景。增强分布式新能源自调节能力，提高自发自用比例。修订分布式新能源接网承载力评估标准，释放公共电网接纳分布式新能源的可开放容量。</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三、大力推动新能源消纳新模式新业</w:t>
      </w:r>
      <w:proofErr w:type="gramStart"/>
      <w:r w:rsidRPr="00D07E66">
        <w:rPr>
          <w:rFonts w:ascii="Arial" w:eastAsia="宋体" w:hAnsi="Arial" w:cs="Arial"/>
          <w:b/>
          <w:bCs/>
          <w:kern w:val="0"/>
          <w:sz w:val="24"/>
          <w:szCs w:val="24"/>
        </w:rPr>
        <w:t>态创新</w:t>
      </w:r>
      <w:proofErr w:type="gramEnd"/>
      <w:r w:rsidRPr="00D07E66">
        <w:rPr>
          <w:rFonts w:ascii="Arial" w:eastAsia="宋体" w:hAnsi="Arial" w:cs="Arial"/>
          <w:b/>
          <w:bCs/>
          <w:kern w:val="0"/>
          <w:sz w:val="24"/>
          <w:szCs w:val="24"/>
        </w:rPr>
        <w:t>发展</w:t>
      </w:r>
      <w:r w:rsidRPr="00D07E66">
        <w:rPr>
          <w:rFonts w:ascii="Arial" w:eastAsia="宋体" w:hAnsi="Arial" w:cs="Arial"/>
          <w:kern w:val="0"/>
          <w:sz w:val="24"/>
          <w:szCs w:val="24"/>
        </w:rPr>
        <w:br/>
      </w:r>
      <w:r w:rsidRPr="00D07E66">
        <w:rPr>
          <w:rFonts w:ascii="Arial" w:eastAsia="宋体" w:hAnsi="Arial" w:cs="Arial"/>
          <w:b/>
          <w:bCs/>
          <w:kern w:val="0"/>
          <w:sz w:val="24"/>
          <w:szCs w:val="24"/>
        </w:rPr>
        <w:t> </w:t>
      </w:r>
      <w:r w:rsidRPr="00D07E66">
        <w:rPr>
          <w:rFonts w:ascii="Arial" w:eastAsia="宋体" w:hAnsi="Arial" w:cs="Arial"/>
          <w:b/>
          <w:bCs/>
          <w:kern w:val="0"/>
          <w:sz w:val="24"/>
          <w:szCs w:val="24"/>
        </w:rPr>
        <w:t> </w:t>
      </w:r>
      <w:r w:rsidRPr="00D07E66">
        <w:rPr>
          <w:rFonts w:ascii="Arial" w:eastAsia="宋体" w:hAnsi="Arial" w:cs="Arial"/>
          <w:b/>
          <w:bCs/>
          <w:kern w:val="0"/>
          <w:sz w:val="24"/>
          <w:szCs w:val="24"/>
        </w:rPr>
        <w:t>（六）创新新能源集成发展模式。</w:t>
      </w:r>
      <w:r w:rsidRPr="00D07E66">
        <w:rPr>
          <w:rFonts w:ascii="宋体" w:eastAsia="宋体" w:hAnsi="宋体" w:cs="宋体" w:hint="eastAsia"/>
          <w:kern w:val="0"/>
          <w:sz w:val="24"/>
          <w:szCs w:val="24"/>
        </w:rPr>
        <w:t>研究制定促进新能源集成发展的政策举措，支持“沙戈荒”等新能源资源富集地区加强新能源上下游产业链协同，建立集成发展产业体系。提升新能源装备制造</w:t>
      </w:r>
      <w:proofErr w:type="gramStart"/>
      <w:r w:rsidRPr="00D07E66">
        <w:rPr>
          <w:rFonts w:ascii="宋体" w:eastAsia="宋体" w:hAnsi="宋体" w:cs="宋体" w:hint="eastAsia"/>
          <w:kern w:val="0"/>
          <w:sz w:val="24"/>
          <w:szCs w:val="24"/>
        </w:rPr>
        <w:t>绿电应用</w:t>
      </w:r>
      <w:proofErr w:type="gramEnd"/>
      <w:r w:rsidRPr="00D07E66">
        <w:rPr>
          <w:rFonts w:ascii="宋体" w:eastAsia="宋体" w:hAnsi="宋体" w:cs="宋体" w:hint="eastAsia"/>
          <w:kern w:val="0"/>
          <w:sz w:val="24"/>
          <w:szCs w:val="24"/>
        </w:rPr>
        <w:t>水平，实现“以绿造绿”。统筹布局绿氢、氨、醇等绿色燃料</w:t>
      </w:r>
      <w:proofErr w:type="gramStart"/>
      <w:r w:rsidRPr="00D07E66">
        <w:rPr>
          <w:rFonts w:ascii="宋体" w:eastAsia="宋体" w:hAnsi="宋体" w:cs="宋体" w:hint="eastAsia"/>
          <w:kern w:val="0"/>
          <w:sz w:val="24"/>
          <w:szCs w:val="24"/>
        </w:rPr>
        <w:t>制储输</w:t>
      </w:r>
      <w:proofErr w:type="gramEnd"/>
      <w:r w:rsidRPr="00D07E66">
        <w:rPr>
          <w:rFonts w:ascii="宋体" w:eastAsia="宋体" w:hAnsi="宋体" w:cs="宋体" w:hint="eastAsia"/>
          <w:kern w:val="0"/>
          <w:sz w:val="24"/>
          <w:szCs w:val="24"/>
        </w:rPr>
        <w:t>用一体化产业，打造“灵活负荷”。</w:t>
      </w:r>
      <w:proofErr w:type="gramStart"/>
      <w:r w:rsidRPr="00D07E66">
        <w:rPr>
          <w:rFonts w:ascii="宋体" w:eastAsia="宋体" w:hAnsi="宋体" w:cs="宋体" w:hint="eastAsia"/>
          <w:kern w:val="0"/>
          <w:sz w:val="24"/>
          <w:szCs w:val="24"/>
        </w:rPr>
        <w:t>推进零碳园区</w:t>
      </w:r>
      <w:proofErr w:type="gramEnd"/>
      <w:r w:rsidRPr="00D07E66">
        <w:rPr>
          <w:rFonts w:ascii="宋体" w:eastAsia="宋体" w:hAnsi="宋体" w:cs="宋体" w:hint="eastAsia"/>
          <w:kern w:val="0"/>
          <w:sz w:val="24"/>
          <w:szCs w:val="24"/>
        </w:rPr>
        <w:t>建设。</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 </w:t>
      </w:r>
      <w:r w:rsidRPr="00D07E66">
        <w:rPr>
          <w:rFonts w:ascii="Arial" w:eastAsia="宋体" w:hAnsi="Arial" w:cs="Arial"/>
          <w:b/>
          <w:bCs/>
          <w:kern w:val="0"/>
          <w:sz w:val="24"/>
          <w:szCs w:val="24"/>
        </w:rPr>
        <w:t>（七）推动新能源与产业融合发展。</w:t>
      </w:r>
      <w:r w:rsidRPr="00D07E66">
        <w:rPr>
          <w:rFonts w:ascii="宋体" w:eastAsia="宋体" w:hAnsi="宋体" w:cs="宋体" w:hint="eastAsia"/>
          <w:kern w:val="0"/>
          <w:sz w:val="24"/>
          <w:szCs w:val="24"/>
        </w:rPr>
        <w:t>积极推进东部地区产业梯度转移和新能源基地就地消纳协同对接，稳妥有序推动高载能产业向西部清洁能源优势地区转移。鼓励传统产业创新工艺流程，提升负荷灵活性，在热力、供暖、制</w:t>
      </w:r>
      <w:r w:rsidRPr="00D07E66">
        <w:rPr>
          <w:rFonts w:ascii="宋体" w:eastAsia="宋体" w:hAnsi="宋体" w:cs="宋体" w:hint="eastAsia"/>
          <w:kern w:val="0"/>
          <w:sz w:val="24"/>
          <w:szCs w:val="24"/>
        </w:rPr>
        <w:lastRenderedPageBreak/>
        <w:t>冷、动力等环节更多使用新能源。支持新能源资源富集地区实现信息技术、高端装备制造、新材料等战略性新兴产业与新能源融合发展。加强新能源</w:t>
      </w:r>
      <w:proofErr w:type="gramStart"/>
      <w:r w:rsidRPr="00D07E66">
        <w:rPr>
          <w:rFonts w:ascii="宋体" w:eastAsia="宋体" w:hAnsi="宋体" w:cs="宋体" w:hint="eastAsia"/>
          <w:kern w:val="0"/>
          <w:sz w:val="24"/>
          <w:szCs w:val="24"/>
        </w:rPr>
        <w:t>与算力设施</w:t>
      </w:r>
      <w:proofErr w:type="gramEnd"/>
      <w:r w:rsidRPr="00D07E66">
        <w:rPr>
          <w:rFonts w:ascii="宋体" w:eastAsia="宋体" w:hAnsi="宋体" w:cs="宋体" w:hint="eastAsia"/>
          <w:kern w:val="0"/>
          <w:sz w:val="24"/>
          <w:szCs w:val="24"/>
        </w:rPr>
        <w:t>协同规划布局及优化运行，推动</w:t>
      </w:r>
      <w:proofErr w:type="gramStart"/>
      <w:r w:rsidRPr="00D07E66">
        <w:rPr>
          <w:rFonts w:ascii="宋体" w:eastAsia="宋体" w:hAnsi="宋体" w:cs="宋体" w:hint="eastAsia"/>
          <w:kern w:val="0"/>
          <w:sz w:val="24"/>
          <w:szCs w:val="24"/>
        </w:rPr>
        <w:t>算力设施</w:t>
      </w:r>
      <w:proofErr w:type="gramEnd"/>
      <w:r w:rsidRPr="00D07E66">
        <w:rPr>
          <w:rFonts w:ascii="宋体" w:eastAsia="宋体" w:hAnsi="宋体" w:cs="宋体" w:hint="eastAsia"/>
          <w:kern w:val="0"/>
          <w:sz w:val="24"/>
          <w:szCs w:val="24"/>
        </w:rPr>
        <w:t>绿色发展。</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（八）支持新能源就近消</w:t>
      </w:r>
      <w:proofErr w:type="gramStart"/>
      <w:r w:rsidRPr="00D07E66">
        <w:rPr>
          <w:rFonts w:ascii="Arial" w:eastAsia="宋体" w:hAnsi="Arial" w:cs="Arial"/>
          <w:b/>
          <w:bCs/>
          <w:kern w:val="0"/>
          <w:sz w:val="24"/>
          <w:szCs w:val="24"/>
        </w:rPr>
        <w:t>纳新业</w:t>
      </w:r>
      <w:proofErr w:type="gramEnd"/>
      <w:r w:rsidRPr="00D07E66">
        <w:rPr>
          <w:rFonts w:ascii="Arial" w:eastAsia="宋体" w:hAnsi="Arial" w:cs="Arial"/>
          <w:b/>
          <w:bCs/>
          <w:kern w:val="0"/>
          <w:sz w:val="24"/>
          <w:szCs w:val="24"/>
        </w:rPr>
        <w:t>态发展。</w:t>
      </w:r>
      <w:r w:rsidRPr="00D07E66">
        <w:rPr>
          <w:rFonts w:ascii="宋体" w:eastAsia="宋体" w:hAnsi="宋体" w:cs="宋体" w:hint="eastAsia"/>
          <w:kern w:val="0"/>
          <w:sz w:val="24"/>
          <w:szCs w:val="24"/>
        </w:rPr>
        <w:t>推动</w:t>
      </w:r>
      <w:proofErr w:type="gramStart"/>
      <w:r w:rsidRPr="00D07E66">
        <w:rPr>
          <w:rFonts w:ascii="宋体" w:eastAsia="宋体" w:hAnsi="宋体" w:cs="宋体" w:hint="eastAsia"/>
          <w:kern w:val="0"/>
          <w:sz w:val="24"/>
          <w:szCs w:val="24"/>
        </w:rPr>
        <w:t>源网荷储</w:t>
      </w:r>
      <w:proofErr w:type="gramEnd"/>
      <w:r w:rsidRPr="00D07E66">
        <w:rPr>
          <w:rFonts w:ascii="宋体" w:eastAsia="宋体" w:hAnsi="宋体" w:cs="宋体" w:hint="eastAsia"/>
          <w:kern w:val="0"/>
          <w:sz w:val="24"/>
          <w:szCs w:val="24"/>
        </w:rPr>
        <w:t>一体化、</w:t>
      </w:r>
      <w:proofErr w:type="gramStart"/>
      <w:r w:rsidRPr="00D07E66">
        <w:rPr>
          <w:rFonts w:ascii="宋体" w:eastAsia="宋体" w:hAnsi="宋体" w:cs="宋体" w:hint="eastAsia"/>
          <w:kern w:val="0"/>
          <w:sz w:val="24"/>
          <w:szCs w:val="24"/>
        </w:rPr>
        <w:t>绿电直</w:t>
      </w:r>
      <w:proofErr w:type="gramEnd"/>
      <w:r w:rsidRPr="00D07E66">
        <w:rPr>
          <w:rFonts w:ascii="宋体" w:eastAsia="宋体" w:hAnsi="宋体" w:cs="宋体" w:hint="eastAsia"/>
          <w:kern w:val="0"/>
          <w:sz w:val="24"/>
          <w:szCs w:val="24"/>
        </w:rPr>
        <w:t>连、智能微电网、新能源接入增量配电网等新能源就近消</w:t>
      </w:r>
      <w:proofErr w:type="gramStart"/>
      <w:r w:rsidRPr="00D07E66">
        <w:rPr>
          <w:rFonts w:ascii="宋体" w:eastAsia="宋体" w:hAnsi="宋体" w:cs="宋体" w:hint="eastAsia"/>
          <w:kern w:val="0"/>
          <w:sz w:val="24"/>
          <w:szCs w:val="24"/>
        </w:rPr>
        <w:t>纳新业态健康</w:t>
      </w:r>
      <w:proofErr w:type="gramEnd"/>
      <w:r w:rsidRPr="00D07E66">
        <w:rPr>
          <w:rFonts w:ascii="宋体" w:eastAsia="宋体" w:hAnsi="宋体" w:cs="宋体" w:hint="eastAsia"/>
          <w:kern w:val="0"/>
          <w:sz w:val="24"/>
          <w:szCs w:val="24"/>
        </w:rPr>
        <w:t>可持续发展，支持新能源就近接入，提升工业园区、建筑楼宇、外向型企业、高载能企业</w:t>
      </w:r>
      <w:proofErr w:type="gramStart"/>
      <w:r w:rsidRPr="00D07E66">
        <w:rPr>
          <w:rFonts w:ascii="宋体" w:eastAsia="宋体" w:hAnsi="宋体" w:cs="宋体" w:hint="eastAsia"/>
          <w:kern w:val="0"/>
          <w:sz w:val="24"/>
          <w:szCs w:val="24"/>
        </w:rPr>
        <w:t>绿电消费</w:t>
      </w:r>
      <w:proofErr w:type="gramEnd"/>
      <w:r w:rsidRPr="00D07E66">
        <w:rPr>
          <w:rFonts w:ascii="宋体" w:eastAsia="宋体" w:hAnsi="宋体" w:cs="宋体" w:hint="eastAsia"/>
          <w:kern w:val="0"/>
          <w:sz w:val="24"/>
          <w:szCs w:val="24"/>
        </w:rPr>
        <w:t>及偏远地区供电保障水平。分类制定完善支持政策、管理制度和技术标准，加强与电网规划的统筹协调，明晰与公共电网的安全、经济和社会责任界面，提升自平衡、自调节能力，新能源弃电不纳入统计。</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四、增强新型电力系统对新能源适配能力</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（九）加快提升系统调节能力。</w:t>
      </w:r>
      <w:r w:rsidRPr="00D07E66">
        <w:rPr>
          <w:rFonts w:ascii="宋体" w:eastAsia="宋体" w:hAnsi="宋体" w:cs="宋体" w:hint="eastAsia"/>
          <w:kern w:val="0"/>
          <w:sz w:val="24"/>
          <w:szCs w:val="24"/>
        </w:rPr>
        <w:t>积极推进流域龙头水库电站建设和水电</w:t>
      </w:r>
      <w:proofErr w:type="gramStart"/>
      <w:r w:rsidRPr="00D07E66">
        <w:rPr>
          <w:rFonts w:ascii="宋体" w:eastAsia="宋体" w:hAnsi="宋体" w:cs="宋体" w:hint="eastAsia"/>
          <w:kern w:val="0"/>
          <w:sz w:val="24"/>
          <w:szCs w:val="24"/>
        </w:rPr>
        <w:t>扩机增容</w:t>
      </w:r>
      <w:proofErr w:type="gramEnd"/>
      <w:r w:rsidRPr="00D07E66">
        <w:rPr>
          <w:rFonts w:ascii="宋体" w:eastAsia="宋体" w:hAnsi="宋体" w:cs="宋体" w:hint="eastAsia"/>
          <w:kern w:val="0"/>
          <w:sz w:val="24"/>
          <w:szCs w:val="24"/>
        </w:rPr>
        <w:t>改造。加快抽水蓄能电站建设，充分发挥削峰填谷等多重作用。大力推进技术先进、安全高效的新型储能建设，挖掘新能源配建储能调节潜力，提升利用水平。适度布局调峰气电。因地制宜建设光热电站。推进新一代煤电转型升级，推动新能源替代燃煤自备电厂发电。充分发挥虚拟电厂聚合负荷侧调节资源作用，</w:t>
      </w:r>
      <w:proofErr w:type="gramStart"/>
      <w:r w:rsidRPr="00D07E66">
        <w:rPr>
          <w:rFonts w:ascii="宋体" w:eastAsia="宋体" w:hAnsi="宋体" w:cs="宋体" w:hint="eastAsia"/>
          <w:kern w:val="0"/>
          <w:sz w:val="24"/>
          <w:szCs w:val="24"/>
        </w:rPr>
        <w:t>拓展车网互动</w:t>
      </w:r>
      <w:proofErr w:type="gramEnd"/>
      <w:r w:rsidRPr="00D07E66">
        <w:rPr>
          <w:rFonts w:ascii="宋体" w:eastAsia="宋体" w:hAnsi="宋体" w:cs="宋体" w:hint="eastAsia"/>
          <w:kern w:val="0"/>
          <w:sz w:val="24"/>
          <w:szCs w:val="24"/>
        </w:rPr>
        <w:t>规模化应用。</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（十）提高电网对新能源的接纳能力。</w:t>
      </w:r>
      <w:r w:rsidRPr="00D07E66">
        <w:rPr>
          <w:rFonts w:ascii="宋体" w:eastAsia="宋体" w:hAnsi="宋体" w:cs="宋体" w:hint="eastAsia"/>
          <w:kern w:val="0"/>
          <w:sz w:val="24"/>
          <w:szCs w:val="24"/>
        </w:rPr>
        <w:t>加快</w:t>
      </w:r>
      <w:proofErr w:type="gramStart"/>
      <w:r w:rsidRPr="00D07E66">
        <w:rPr>
          <w:rFonts w:ascii="宋体" w:eastAsia="宋体" w:hAnsi="宋体" w:cs="宋体" w:hint="eastAsia"/>
          <w:kern w:val="0"/>
          <w:sz w:val="24"/>
          <w:szCs w:val="24"/>
        </w:rPr>
        <w:t>构建主配微</w:t>
      </w:r>
      <w:proofErr w:type="gramEnd"/>
      <w:r w:rsidRPr="00D07E66">
        <w:rPr>
          <w:rFonts w:ascii="宋体" w:eastAsia="宋体" w:hAnsi="宋体" w:cs="宋体" w:hint="eastAsia"/>
          <w:kern w:val="0"/>
          <w:sz w:val="24"/>
          <w:szCs w:val="24"/>
        </w:rPr>
        <w:t>协同的新型电网平台，提升电网承载力。优化全国电力流向，进一步扩大新能源资源配置范围，稳步提升跨省跨区输电通道规模。充分利用区域间、省间调节资源和新能源出力互补特性，合理布局灵活互济电网工程，提升互济能力。加强电网主网架建设，提升新能源的并网接纳能力。大力推动配电网建设改造和智能化升级，加快打造适应大规模分布式新能源接入的新型配电系统。因地制宜推动智能微电网与大电网协同发展。</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（十一）优化新能源调控模式。</w:t>
      </w:r>
      <w:r w:rsidRPr="00D07E66">
        <w:rPr>
          <w:rFonts w:ascii="宋体" w:eastAsia="宋体" w:hAnsi="宋体" w:cs="宋体" w:hint="eastAsia"/>
          <w:kern w:val="0"/>
          <w:sz w:val="24"/>
          <w:szCs w:val="24"/>
        </w:rPr>
        <w:t>构建新型电力调度体系，进一步厘清调度机构、各级电网、集中式新能源、分布式新能源等的调控关系和职责范围，加强市级、县级调度机构力量，全面提升可观、可测、可调、可控能力和智能化调控水平。探索“沙戈荒”新能源基地、水风光基地、海上风电基地集群协同调控模式，加快推动新能源与站内配建储能一体化出力曲线调用。修订电力调度管理制度，加强电力调度监管。</w:t>
      </w:r>
      <w:r w:rsidRPr="00D07E66">
        <w:rPr>
          <w:rFonts w:ascii="Arial" w:eastAsia="宋体" w:hAnsi="Arial" w:cs="Arial"/>
          <w:kern w:val="0"/>
          <w:sz w:val="24"/>
          <w:szCs w:val="24"/>
        </w:rPr>
        <w:br/>
      </w:r>
      <w:r w:rsidRPr="00D07E66">
        <w:rPr>
          <w:rFonts w:ascii="宋体" w:eastAsia="宋体" w:hAnsi="宋体" w:cs="宋体" w:hint="eastAsia"/>
          <w:kern w:val="0"/>
          <w:sz w:val="24"/>
          <w:szCs w:val="24"/>
        </w:rPr>
        <w:lastRenderedPageBreak/>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（十二）强化新型电力系统安全治理。</w:t>
      </w:r>
      <w:r w:rsidRPr="00D07E66">
        <w:rPr>
          <w:rFonts w:ascii="宋体" w:eastAsia="宋体" w:hAnsi="宋体" w:cs="宋体" w:hint="eastAsia"/>
          <w:kern w:val="0"/>
          <w:sz w:val="24"/>
          <w:szCs w:val="24"/>
        </w:rPr>
        <w:t>加强新能源基地规划阶段电网安全稳定分析和运行阶段电网安全稳定管理。深化有源配电网运行风险管控，建立健全风险识别、监视控制体系。完善新能源及新型并网</w:t>
      </w:r>
      <w:proofErr w:type="gramStart"/>
      <w:r w:rsidRPr="00D07E66">
        <w:rPr>
          <w:rFonts w:ascii="宋体" w:eastAsia="宋体" w:hAnsi="宋体" w:cs="宋体" w:hint="eastAsia"/>
          <w:kern w:val="0"/>
          <w:sz w:val="24"/>
          <w:szCs w:val="24"/>
        </w:rPr>
        <w:t>主体涉网安全管理</w:t>
      </w:r>
      <w:proofErr w:type="gramEnd"/>
      <w:r w:rsidRPr="00D07E66">
        <w:rPr>
          <w:rFonts w:ascii="宋体" w:eastAsia="宋体" w:hAnsi="宋体" w:cs="宋体" w:hint="eastAsia"/>
          <w:kern w:val="0"/>
          <w:sz w:val="24"/>
          <w:szCs w:val="24"/>
        </w:rPr>
        <w:t>制度，</w:t>
      </w:r>
      <w:proofErr w:type="gramStart"/>
      <w:r w:rsidRPr="00D07E66">
        <w:rPr>
          <w:rFonts w:ascii="宋体" w:eastAsia="宋体" w:hAnsi="宋体" w:cs="宋体" w:hint="eastAsia"/>
          <w:kern w:val="0"/>
          <w:sz w:val="24"/>
          <w:szCs w:val="24"/>
        </w:rPr>
        <w:t>加强涉网安全</w:t>
      </w:r>
      <w:proofErr w:type="gramEnd"/>
      <w:r w:rsidRPr="00D07E66">
        <w:rPr>
          <w:rFonts w:ascii="宋体" w:eastAsia="宋体" w:hAnsi="宋体" w:cs="宋体" w:hint="eastAsia"/>
          <w:kern w:val="0"/>
          <w:sz w:val="24"/>
          <w:szCs w:val="24"/>
        </w:rPr>
        <w:t>性能和参数全周期管控，严格</w:t>
      </w:r>
      <w:proofErr w:type="gramStart"/>
      <w:r w:rsidRPr="00D07E66">
        <w:rPr>
          <w:rFonts w:ascii="宋体" w:eastAsia="宋体" w:hAnsi="宋体" w:cs="宋体" w:hint="eastAsia"/>
          <w:kern w:val="0"/>
          <w:sz w:val="24"/>
          <w:szCs w:val="24"/>
        </w:rPr>
        <w:t>执行涉网性能</w:t>
      </w:r>
      <w:proofErr w:type="gramEnd"/>
      <w:r w:rsidRPr="00D07E66">
        <w:rPr>
          <w:rFonts w:ascii="宋体" w:eastAsia="宋体" w:hAnsi="宋体" w:cs="宋体" w:hint="eastAsia"/>
          <w:kern w:val="0"/>
          <w:sz w:val="24"/>
          <w:szCs w:val="24"/>
        </w:rPr>
        <w:t>评估程序，规范并网接入与运行管理，强化网络安全管控。</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五、完善促进新能源消纳的全国统一电力市场体系</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（十三）拓展多层次新能源消纳市场化体系。</w:t>
      </w:r>
      <w:r w:rsidRPr="00D07E66">
        <w:rPr>
          <w:rFonts w:ascii="宋体" w:eastAsia="宋体" w:hAnsi="宋体" w:cs="宋体" w:hint="eastAsia"/>
          <w:kern w:val="0"/>
          <w:sz w:val="24"/>
          <w:szCs w:val="24"/>
        </w:rPr>
        <w:t>适应新能源出力波动特点，缩短中长期交易周期，实现灵活连续交易，推广多年期购电协议机制，稳定长期消纳空间。充分发挥现货市场功能，加强与需求侧响应机制等的衔接，引导系统调节资源主动参与调节，完善用户</w:t>
      </w:r>
      <w:proofErr w:type="gramStart"/>
      <w:r w:rsidRPr="00D07E66">
        <w:rPr>
          <w:rFonts w:ascii="宋体" w:eastAsia="宋体" w:hAnsi="宋体" w:cs="宋体" w:hint="eastAsia"/>
          <w:kern w:val="0"/>
          <w:sz w:val="24"/>
          <w:szCs w:val="24"/>
        </w:rPr>
        <w:t>侧参与</w:t>
      </w:r>
      <w:proofErr w:type="gramEnd"/>
      <w:r w:rsidRPr="00D07E66">
        <w:rPr>
          <w:rFonts w:ascii="宋体" w:eastAsia="宋体" w:hAnsi="宋体" w:cs="宋体" w:hint="eastAsia"/>
          <w:kern w:val="0"/>
          <w:sz w:val="24"/>
          <w:szCs w:val="24"/>
        </w:rPr>
        <w:t>现货市场交易机制，激发用户侧灵活调节潜力。合理设置电力辅助服务交易品种，完善费用向用户侧疏导机制，促进新能源大规模发展过程中的系统平稳运行。以省间中长期交易压实新能源跨省消纳“基本盘”，以省间现货交易、区域</w:t>
      </w:r>
      <w:proofErr w:type="gramStart"/>
      <w:r w:rsidRPr="00D07E66">
        <w:rPr>
          <w:rFonts w:ascii="宋体" w:eastAsia="宋体" w:hAnsi="宋体" w:cs="宋体" w:hint="eastAsia"/>
          <w:kern w:val="0"/>
          <w:sz w:val="24"/>
          <w:szCs w:val="24"/>
        </w:rPr>
        <w:t>内省间</w:t>
      </w:r>
      <w:proofErr w:type="gramEnd"/>
      <w:r w:rsidRPr="00D07E66">
        <w:rPr>
          <w:rFonts w:ascii="宋体" w:eastAsia="宋体" w:hAnsi="宋体" w:cs="宋体" w:hint="eastAsia"/>
          <w:kern w:val="0"/>
          <w:sz w:val="24"/>
          <w:szCs w:val="24"/>
        </w:rPr>
        <w:t>互济交易等</w:t>
      </w:r>
      <w:proofErr w:type="gramStart"/>
      <w:r w:rsidRPr="00D07E66">
        <w:rPr>
          <w:rFonts w:ascii="宋体" w:eastAsia="宋体" w:hAnsi="宋体" w:cs="宋体" w:hint="eastAsia"/>
          <w:kern w:val="0"/>
          <w:sz w:val="24"/>
          <w:szCs w:val="24"/>
        </w:rPr>
        <w:t>灵活响应</w:t>
      </w:r>
      <w:proofErr w:type="gramEnd"/>
      <w:r w:rsidRPr="00D07E66">
        <w:rPr>
          <w:rFonts w:ascii="宋体" w:eastAsia="宋体" w:hAnsi="宋体" w:cs="宋体" w:hint="eastAsia"/>
          <w:kern w:val="0"/>
          <w:sz w:val="24"/>
          <w:szCs w:val="24"/>
        </w:rPr>
        <w:t>新能源</w:t>
      </w:r>
      <w:proofErr w:type="gramStart"/>
      <w:r w:rsidRPr="00D07E66">
        <w:rPr>
          <w:rFonts w:ascii="宋体" w:eastAsia="宋体" w:hAnsi="宋体" w:cs="宋体" w:hint="eastAsia"/>
          <w:kern w:val="0"/>
          <w:sz w:val="24"/>
          <w:szCs w:val="24"/>
        </w:rPr>
        <w:t>短时消纳</w:t>
      </w:r>
      <w:proofErr w:type="gramEnd"/>
      <w:r w:rsidRPr="00D07E66">
        <w:rPr>
          <w:rFonts w:ascii="宋体" w:eastAsia="宋体" w:hAnsi="宋体" w:cs="宋体" w:hint="eastAsia"/>
          <w:kern w:val="0"/>
          <w:sz w:val="24"/>
          <w:szCs w:val="24"/>
        </w:rPr>
        <w:t>需求，推进跨电网经营区常态化新能源电力交易。</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（十四）完善适应新能源参与电力市场的规则体系。</w:t>
      </w:r>
      <w:r w:rsidRPr="00D07E66">
        <w:rPr>
          <w:rFonts w:ascii="宋体" w:eastAsia="宋体" w:hAnsi="宋体" w:cs="宋体" w:hint="eastAsia"/>
          <w:kern w:val="0"/>
          <w:sz w:val="24"/>
          <w:szCs w:val="24"/>
        </w:rPr>
        <w:t>推动建立“沙戈荒”、水风光新能源基地一体化模式参与市场的交易规则；支持分布式新能源、储能、虚拟电厂等新型主体通过聚合、直接交易等模式参与电力市场；研究推动新能源、用户等主体参与跨省跨区电力市场直接交易；推动构建符合新能源发电特性、分布格局的市场报价方式。完善电力市场限价等机制，充分发挥价格信号引导新能源消纳的作用。积极推动绿证市场高质量发展，推进“电—证—碳”市场协同，科学反映新能源环境价值。</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（十五）创新促进新能源消纳的价格机制。</w:t>
      </w:r>
      <w:r w:rsidRPr="00D07E66">
        <w:rPr>
          <w:rFonts w:ascii="宋体" w:eastAsia="宋体" w:hAnsi="宋体" w:cs="宋体" w:hint="eastAsia"/>
          <w:kern w:val="0"/>
          <w:sz w:val="24"/>
          <w:szCs w:val="24"/>
        </w:rPr>
        <w:t>建立完善跨省跨区新能源送电价格形成和调整机制，鼓励新能源外送基地各类电源整体形成送电价格。提升跨省跨区通道输电价格机制灵活性，研究海上风电送出工程相关价格机制。落实完善促进新能源就近消纳的电价机制。健全完善煤电、抽水蓄能、新型储能等调节性资源容量电价机制。加快推动市场价格信号有效传导至终端用户，完善体现分时价值差异的零售市场价格机制，研究建立健全居民分时电价机制。</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六、强化新能源消</w:t>
      </w:r>
      <w:proofErr w:type="gramStart"/>
      <w:r w:rsidRPr="00D07E66">
        <w:rPr>
          <w:rFonts w:ascii="Arial" w:eastAsia="宋体" w:hAnsi="Arial" w:cs="Arial"/>
          <w:b/>
          <w:bCs/>
          <w:kern w:val="0"/>
          <w:sz w:val="24"/>
          <w:szCs w:val="24"/>
        </w:rPr>
        <w:t>纳技术</w:t>
      </w:r>
      <w:proofErr w:type="gramEnd"/>
      <w:r w:rsidRPr="00D07E66">
        <w:rPr>
          <w:rFonts w:ascii="Arial" w:eastAsia="宋体" w:hAnsi="Arial" w:cs="Arial"/>
          <w:b/>
          <w:bCs/>
          <w:kern w:val="0"/>
          <w:sz w:val="24"/>
          <w:szCs w:val="24"/>
        </w:rPr>
        <w:t>创新支撑</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（十六）突破新能源高效发电利用技术。</w:t>
      </w:r>
      <w:r w:rsidRPr="00D07E66">
        <w:rPr>
          <w:rFonts w:ascii="宋体" w:eastAsia="宋体" w:hAnsi="宋体" w:cs="宋体" w:hint="eastAsia"/>
          <w:kern w:val="0"/>
          <w:sz w:val="24"/>
          <w:szCs w:val="24"/>
        </w:rPr>
        <w:t>加强高效低成本光伏、风电技术</w:t>
      </w:r>
      <w:r w:rsidRPr="00D07E66">
        <w:rPr>
          <w:rFonts w:ascii="宋体" w:eastAsia="宋体" w:hAnsi="宋体" w:cs="宋体" w:hint="eastAsia"/>
          <w:kern w:val="0"/>
          <w:sz w:val="24"/>
          <w:szCs w:val="24"/>
        </w:rPr>
        <w:lastRenderedPageBreak/>
        <w:t>研发，试点建设超大功率深远</w:t>
      </w:r>
      <w:proofErr w:type="gramStart"/>
      <w:r w:rsidRPr="00D07E66">
        <w:rPr>
          <w:rFonts w:ascii="宋体" w:eastAsia="宋体" w:hAnsi="宋体" w:cs="宋体" w:hint="eastAsia"/>
          <w:kern w:val="0"/>
          <w:sz w:val="24"/>
          <w:szCs w:val="24"/>
        </w:rPr>
        <w:t>海风电机组</w:t>
      </w:r>
      <w:proofErr w:type="gramEnd"/>
      <w:r w:rsidRPr="00D07E66">
        <w:rPr>
          <w:rFonts w:ascii="宋体" w:eastAsia="宋体" w:hAnsi="宋体" w:cs="宋体" w:hint="eastAsia"/>
          <w:kern w:val="0"/>
          <w:sz w:val="24"/>
          <w:szCs w:val="24"/>
        </w:rPr>
        <w:t>。加快提升新能源超短期、短期、中长期等不同时间尺度功率预测精度。</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（十七）攻关系统灵活调节技术。</w:t>
      </w:r>
      <w:r w:rsidRPr="00D07E66">
        <w:rPr>
          <w:rFonts w:ascii="宋体" w:eastAsia="宋体" w:hAnsi="宋体" w:cs="宋体" w:hint="eastAsia"/>
          <w:kern w:val="0"/>
          <w:sz w:val="24"/>
          <w:szCs w:val="24"/>
        </w:rPr>
        <w:t>创新应用液流电池、压缩空气储能、重力储能等多种技术路线，加快突破大容量长时储能技术。推动新建抽水蓄能电站具备变速调节能力。深化虚拟电厂协调运行控制技术、多元交易技术应用，扩大新型负荷灵活调节技术应用。加快新一代煤电试点应用及推广。</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（十八）强化电网运行技术。</w:t>
      </w:r>
      <w:r w:rsidRPr="00D07E66">
        <w:rPr>
          <w:rFonts w:ascii="宋体" w:eastAsia="宋体" w:hAnsi="宋体" w:cs="宋体" w:hint="eastAsia"/>
          <w:kern w:val="0"/>
          <w:sz w:val="24"/>
          <w:szCs w:val="24"/>
        </w:rPr>
        <w:t>加强高比例可再生能源、高比例电力电子设备电力系统高效仿真和稳定运行控制技术研究。试点</w:t>
      </w:r>
      <w:proofErr w:type="gramStart"/>
      <w:r w:rsidRPr="00D07E66">
        <w:rPr>
          <w:rFonts w:ascii="宋体" w:eastAsia="宋体" w:hAnsi="宋体" w:cs="宋体" w:hint="eastAsia"/>
          <w:kern w:val="0"/>
          <w:sz w:val="24"/>
          <w:szCs w:val="24"/>
        </w:rPr>
        <w:t>试验高</w:t>
      </w:r>
      <w:proofErr w:type="gramEnd"/>
      <w:r w:rsidRPr="00D07E66">
        <w:rPr>
          <w:rFonts w:ascii="宋体" w:eastAsia="宋体" w:hAnsi="宋体" w:cs="宋体" w:hint="eastAsia"/>
          <w:kern w:val="0"/>
          <w:sz w:val="24"/>
          <w:szCs w:val="24"/>
        </w:rPr>
        <w:t>比例新能源特高压柔性直流输电、大容量高电压海上柔性直流海缆输电技术以及多端直流孤岛运行技术。提升新能源基地电源汇集</w:t>
      </w:r>
      <w:proofErr w:type="gramStart"/>
      <w:r w:rsidRPr="00D07E66">
        <w:rPr>
          <w:rFonts w:ascii="宋体" w:eastAsia="宋体" w:hAnsi="宋体" w:cs="宋体" w:hint="eastAsia"/>
          <w:kern w:val="0"/>
          <w:sz w:val="24"/>
          <w:szCs w:val="24"/>
        </w:rPr>
        <w:t>及弱送</w:t>
      </w:r>
      <w:proofErr w:type="gramEnd"/>
      <w:r w:rsidRPr="00D07E66">
        <w:rPr>
          <w:rFonts w:ascii="宋体" w:eastAsia="宋体" w:hAnsi="宋体" w:cs="宋体" w:hint="eastAsia"/>
          <w:kern w:val="0"/>
          <w:sz w:val="24"/>
          <w:szCs w:val="24"/>
        </w:rPr>
        <w:t>端系统稳定运行技术水平。推广构网型控制技术，提高</w:t>
      </w:r>
      <w:proofErr w:type="gramStart"/>
      <w:r w:rsidRPr="00D07E66">
        <w:rPr>
          <w:rFonts w:ascii="宋体" w:eastAsia="宋体" w:hAnsi="宋体" w:cs="宋体" w:hint="eastAsia"/>
          <w:kern w:val="0"/>
          <w:sz w:val="24"/>
          <w:szCs w:val="24"/>
        </w:rPr>
        <w:t>新能源涉网性能</w:t>
      </w:r>
      <w:proofErr w:type="gramEnd"/>
      <w:r w:rsidRPr="00D07E66">
        <w:rPr>
          <w:rFonts w:ascii="宋体" w:eastAsia="宋体" w:hAnsi="宋体" w:cs="宋体" w:hint="eastAsia"/>
          <w:kern w:val="0"/>
          <w:sz w:val="24"/>
          <w:szCs w:val="24"/>
        </w:rPr>
        <w:t>和主动支撑能力。加快修订新能源并网技术标准。</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（十九）升级智能化调控技术。</w:t>
      </w:r>
      <w:r w:rsidRPr="00D07E66">
        <w:rPr>
          <w:rFonts w:ascii="宋体" w:eastAsia="宋体" w:hAnsi="宋体" w:cs="宋体" w:hint="eastAsia"/>
          <w:kern w:val="0"/>
          <w:sz w:val="24"/>
          <w:szCs w:val="24"/>
        </w:rPr>
        <w:t>加快人工智能、大数据、</w:t>
      </w:r>
      <w:proofErr w:type="gramStart"/>
      <w:r w:rsidRPr="00D07E66">
        <w:rPr>
          <w:rFonts w:ascii="宋体" w:eastAsia="宋体" w:hAnsi="宋体" w:cs="宋体" w:hint="eastAsia"/>
          <w:kern w:val="0"/>
          <w:sz w:val="24"/>
          <w:szCs w:val="24"/>
        </w:rPr>
        <w:t>云计算</w:t>
      </w:r>
      <w:proofErr w:type="gramEnd"/>
      <w:r w:rsidRPr="00D07E66">
        <w:rPr>
          <w:rFonts w:ascii="宋体" w:eastAsia="宋体" w:hAnsi="宋体" w:cs="宋体" w:hint="eastAsia"/>
          <w:kern w:val="0"/>
          <w:sz w:val="24"/>
          <w:szCs w:val="24"/>
        </w:rPr>
        <w:t>等先进技术在</w:t>
      </w:r>
      <w:proofErr w:type="gramStart"/>
      <w:r w:rsidRPr="00D07E66">
        <w:rPr>
          <w:rFonts w:ascii="宋体" w:eastAsia="宋体" w:hAnsi="宋体" w:cs="宋体" w:hint="eastAsia"/>
          <w:kern w:val="0"/>
          <w:sz w:val="24"/>
          <w:szCs w:val="24"/>
        </w:rPr>
        <w:t>主配微网</w:t>
      </w:r>
      <w:proofErr w:type="gramEnd"/>
      <w:r w:rsidRPr="00D07E66">
        <w:rPr>
          <w:rFonts w:ascii="宋体" w:eastAsia="宋体" w:hAnsi="宋体" w:cs="宋体" w:hint="eastAsia"/>
          <w:kern w:val="0"/>
          <w:sz w:val="24"/>
          <w:szCs w:val="24"/>
        </w:rPr>
        <w:t>协同中的应用。推广应用状态感知技术，提升电网对分散资源的动态感知能力。加快应用海量</w:t>
      </w:r>
      <w:proofErr w:type="gramStart"/>
      <w:r w:rsidRPr="00D07E66">
        <w:rPr>
          <w:rFonts w:ascii="宋体" w:eastAsia="宋体" w:hAnsi="宋体" w:cs="宋体" w:hint="eastAsia"/>
          <w:kern w:val="0"/>
          <w:sz w:val="24"/>
          <w:szCs w:val="24"/>
        </w:rPr>
        <w:t>源网荷储资源</w:t>
      </w:r>
      <w:proofErr w:type="gramEnd"/>
      <w:r w:rsidRPr="00D07E66">
        <w:rPr>
          <w:rFonts w:ascii="宋体" w:eastAsia="宋体" w:hAnsi="宋体" w:cs="宋体" w:hint="eastAsia"/>
          <w:kern w:val="0"/>
          <w:sz w:val="24"/>
          <w:szCs w:val="24"/>
        </w:rPr>
        <w:t>聚合控制技术，完善新能源基地协同调控技术。</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 </w:t>
      </w:r>
      <w:r w:rsidRPr="00D07E66">
        <w:rPr>
          <w:rFonts w:ascii="Arial" w:eastAsia="宋体" w:hAnsi="Arial" w:cs="Arial"/>
          <w:b/>
          <w:bCs/>
          <w:kern w:val="0"/>
          <w:sz w:val="24"/>
          <w:szCs w:val="24"/>
        </w:rPr>
        <w:t>七、保障措施</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（二十）优化新能源消</w:t>
      </w:r>
      <w:proofErr w:type="gramStart"/>
      <w:r w:rsidRPr="00D07E66">
        <w:rPr>
          <w:rFonts w:ascii="Arial" w:eastAsia="宋体" w:hAnsi="Arial" w:cs="Arial"/>
          <w:b/>
          <w:bCs/>
          <w:kern w:val="0"/>
          <w:sz w:val="24"/>
          <w:szCs w:val="24"/>
        </w:rPr>
        <w:t>纳管理</w:t>
      </w:r>
      <w:proofErr w:type="gramEnd"/>
      <w:r w:rsidRPr="00D07E66">
        <w:rPr>
          <w:rFonts w:ascii="Arial" w:eastAsia="宋体" w:hAnsi="Arial" w:cs="Arial"/>
          <w:b/>
          <w:bCs/>
          <w:kern w:val="0"/>
          <w:sz w:val="24"/>
          <w:szCs w:val="24"/>
        </w:rPr>
        <w:t>机制。</w:t>
      </w:r>
      <w:r w:rsidRPr="00D07E66">
        <w:rPr>
          <w:rFonts w:ascii="宋体" w:eastAsia="宋体" w:hAnsi="宋体" w:cs="宋体" w:hint="eastAsia"/>
          <w:kern w:val="0"/>
          <w:sz w:val="24"/>
          <w:szCs w:val="24"/>
        </w:rPr>
        <w:t>强化规划指导作用，在五年电力发展规划中分档设置不同地区新能源利用率目标，科学统筹新能源发展与消纳，协同推进新能源规划布局及配套电网、调节能力建设。完善新能源消纳评估方法，推动新能源消纳评估逐步由单一新能源利用率指标向综合评价指标体系转变。各省级能源主管部门科学开展本地区年度新能源利用率目标制定及未来3年展望工作，明确年度新能源开发与消纳方案。根据新能源利用率目标和可再生能源电力消纳责任权重目标，统筹确定年度并网新能源（含分布式新能源）新增开发规模。落实可再生能源消费最低比重目标要求，加快建立强制消费与自愿消费相结合的绿</w:t>
      </w:r>
      <w:proofErr w:type="gramStart"/>
      <w:r w:rsidRPr="00D07E66">
        <w:rPr>
          <w:rFonts w:ascii="宋体" w:eastAsia="宋体" w:hAnsi="宋体" w:cs="宋体" w:hint="eastAsia"/>
          <w:kern w:val="0"/>
          <w:sz w:val="24"/>
          <w:szCs w:val="24"/>
        </w:rPr>
        <w:t>证消费</w:t>
      </w:r>
      <w:proofErr w:type="gramEnd"/>
      <w:r w:rsidRPr="00D07E66">
        <w:rPr>
          <w:rFonts w:ascii="宋体" w:eastAsia="宋体" w:hAnsi="宋体" w:cs="宋体" w:hint="eastAsia"/>
          <w:kern w:val="0"/>
          <w:sz w:val="24"/>
          <w:szCs w:val="24"/>
        </w:rPr>
        <w:t>机制，进一步压实可再生能源电力消纳责任。</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（二十一）明确责任分工。</w:t>
      </w:r>
      <w:r w:rsidRPr="00D07E66">
        <w:rPr>
          <w:rFonts w:ascii="宋体" w:eastAsia="宋体" w:hAnsi="宋体" w:cs="宋体" w:hint="eastAsia"/>
          <w:kern w:val="0"/>
          <w:sz w:val="24"/>
          <w:szCs w:val="24"/>
        </w:rPr>
        <w:t>国家发展改革委、国家能源局统筹推进新能源消纳和调控工作，指导各省份优化新能源利用率目标和开发规模。各省级能源主管部门是统筹保障本地区新能源消纳的责任主体，全面组织落实各项消纳举</w:t>
      </w:r>
      <w:r w:rsidRPr="00D07E66">
        <w:rPr>
          <w:rFonts w:ascii="宋体" w:eastAsia="宋体" w:hAnsi="宋体" w:cs="宋体" w:hint="eastAsia"/>
          <w:kern w:val="0"/>
          <w:sz w:val="24"/>
          <w:szCs w:val="24"/>
        </w:rPr>
        <w:lastRenderedPageBreak/>
        <w:t>措，实现消纳目标。电网企业是保障新能源接网与调控运行的主要责任单位，持续加强电网建设，优化系统运行。发电企业提升新能源可靠替代能力，加强调节资源建设。各类经营主体积极参与电力系统互动。</w:t>
      </w:r>
      <w:r w:rsidRPr="00D07E66">
        <w:rPr>
          <w:rFonts w:ascii="Arial" w:eastAsia="宋体" w:hAnsi="Arial" w:cs="Arial"/>
          <w:kern w:val="0"/>
          <w:sz w:val="24"/>
          <w:szCs w:val="24"/>
        </w:rPr>
        <w:br/>
      </w:r>
      <w:r w:rsidRPr="00D07E66">
        <w:rPr>
          <w:rFonts w:ascii="宋体" w:eastAsia="宋体" w:hAnsi="宋体" w:cs="宋体" w:hint="eastAsia"/>
          <w:kern w:val="0"/>
          <w:sz w:val="24"/>
          <w:szCs w:val="24"/>
        </w:rPr>
        <w:t> </w:t>
      </w:r>
      <w:r w:rsidRPr="00D07E66">
        <w:rPr>
          <w:rFonts w:ascii="宋体" w:eastAsia="宋体" w:hAnsi="宋体" w:cs="宋体" w:hint="eastAsia"/>
          <w:kern w:val="0"/>
          <w:sz w:val="24"/>
          <w:szCs w:val="24"/>
        </w:rPr>
        <w:t> </w:t>
      </w:r>
      <w:r w:rsidRPr="00D07E66">
        <w:rPr>
          <w:rFonts w:ascii="Arial" w:eastAsia="宋体" w:hAnsi="Arial" w:cs="Arial"/>
          <w:b/>
          <w:bCs/>
          <w:kern w:val="0"/>
          <w:sz w:val="24"/>
          <w:szCs w:val="24"/>
        </w:rPr>
        <w:t>（二十二）强化监测监管与目标执行。</w:t>
      </w:r>
      <w:r w:rsidRPr="00D07E66">
        <w:rPr>
          <w:rFonts w:ascii="宋体" w:eastAsia="宋体" w:hAnsi="宋体" w:cs="宋体" w:hint="eastAsia"/>
          <w:kern w:val="0"/>
          <w:sz w:val="24"/>
          <w:szCs w:val="24"/>
        </w:rPr>
        <w:t>优化新能源利用率统计发布工作，根据需要完善新能源利用率监测统计管理办法。各省级能源主管部门要建立新能源“规划—建设—并网—消纳”全周期监测预警机制，及时分析本地区新能源消纳情况，新能源利用率显著下滑或未完成利用率目标的地区要科学论证新能源新增并网规模，避免新能源利用率大幅下滑。国家能源局派出机构针对新能源消纳和调控政策措施落实情况进行常态化监管，重大事项及时报告。</w:t>
      </w:r>
      <w:r w:rsidRPr="00D07E66">
        <w:rPr>
          <w:rFonts w:ascii="Arial" w:eastAsia="宋体" w:hAnsi="Arial" w:cs="Arial"/>
          <w:kern w:val="0"/>
          <w:sz w:val="24"/>
          <w:szCs w:val="24"/>
        </w:rPr>
        <w:br/>
      </w:r>
    </w:p>
    <w:p w14:paraId="37A5824E" w14:textId="77777777" w:rsidR="00D07E66" w:rsidRPr="00D07E66" w:rsidRDefault="00D07E66" w:rsidP="00D07E66">
      <w:pPr>
        <w:widowControl/>
        <w:jc w:val="center"/>
        <w:rPr>
          <w:rFonts w:ascii="Arial" w:eastAsia="宋体" w:hAnsi="Arial" w:cs="Arial"/>
          <w:kern w:val="0"/>
          <w:sz w:val="24"/>
          <w:szCs w:val="24"/>
        </w:rPr>
      </w:pPr>
      <w:r w:rsidRPr="00D07E66">
        <w:rPr>
          <w:rFonts w:ascii="宋体" w:eastAsia="宋体" w:hAnsi="宋体" w:cs="Arial" w:hint="eastAsia"/>
          <w:kern w:val="0"/>
          <w:sz w:val="24"/>
          <w:szCs w:val="24"/>
        </w:rPr>
        <w:t>国家发展改革委</w:t>
      </w:r>
    </w:p>
    <w:p w14:paraId="6384B1E4" w14:textId="77777777" w:rsidR="00D07E66" w:rsidRPr="00D07E66" w:rsidRDefault="00D07E66" w:rsidP="00D07E66">
      <w:pPr>
        <w:widowControl/>
        <w:jc w:val="center"/>
        <w:rPr>
          <w:rFonts w:ascii="Arial" w:eastAsia="宋体" w:hAnsi="Arial" w:cs="Arial"/>
          <w:kern w:val="0"/>
          <w:sz w:val="24"/>
          <w:szCs w:val="24"/>
        </w:rPr>
      </w:pPr>
      <w:r w:rsidRPr="00D07E66">
        <w:rPr>
          <w:rFonts w:ascii="宋体" w:eastAsia="宋体" w:hAnsi="宋体" w:cs="Arial" w:hint="eastAsia"/>
          <w:kern w:val="0"/>
          <w:sz w:val="24"/>
          <w:szCs w:val="24"/>
        </w:rPr>
        <w:t>国 家 能 源 局</w:t>
      </w:r>
    </w:p>
    <w:p w14:paraId="74A96392" w14:textId="77777777" w:rsidR="00D07E66" w:rsidRPr="00D07E66" w:rsidRDefault="00D07E66" w:rsidP="00D07E66">
      <w:pPr>
        <w:widowControl/>
        <w:jc w:val="center"/>
        <w:rPr>
          <w:rFonts w:ascii="Arial" w:eastAsia="宋体" w:hAnsi="Arial" w:cs="Arial"/>
          <w:kern w:val="0"/>
          <w:sz w:val="24"/>
          <w:szCs w:val="24"/>
        </w:rPr>
      </w:pPr>
      <w:r w:rsidRPr="00D07E66">
        <w:rPr>
          <w:rFonts w:ascii="宋体" w:eastAsia="宋体" w:hAnsi="宋体" w:cs="Arial" w:hint="eastAsia"/>
          <w:kern w:val="0"/>
          <w:sz w:val="24"/>
          <w:szCs w:val="24"/>
        </w:rPr>
        <w:t>2025年10月29日</w:t>
      </w:r>
    </w:p>
    <w:p w14:paraId="24DBEEDA" w14:textId="77777777" w:rsidR="00D230FC" w:rsidRPr="00D07E66" w:rsidRDefault="00D230FC">
      <w:pPr>
        <w:rPr>
          <w:rFonts w:hint="eastAsia"/>
        </w:rPr>
      </w:pPr>
    </w:p>
    <w:sectPr w:rsidR="00D230FC" w:rsidRPr="00D07E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66"/>
    <w:rsid w:val="00243CAC"/>
    <w:rsid w:val="00494467"/>
    <w:rsid w:val="00D07E66"/>
    <w:rsid w:val="00D23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EBE35"/>
  <w15:chartTrackingRefBased/>
  <w15:docId w15:val="{D1E80DB8-EBC1-46EE-83C6-A3EEFA656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07E6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07E6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07E6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D07E6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D07E6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D07E6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D07E6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07E6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07E6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07E6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07E6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07E6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07E66"/>
    <w:rPr>
      <w:rFonts w:cstheme="majorBidi"/>
      <w:color w:val="2F5496" w:themeColor="accent1" w:themeShade="BF"/>
      <w:sz w:val="28"/>
      <w:szCs w:val="28"/>
    </w:rPr>
  </w:style>
  <w:style w:type="character" w:customStyle="1" w:styleId="50">
    <w:name w:val="标题 5 字符"/>
    <w:basedOn w:val="a0"/>
    <w:link w:val="5"/>
    <w:uiPriority w:val="9"/>
    <w:semiHidden/>
    <w:rsid w:val="00D07E66"/>
    <w:rPr>
      <w:rFonts w:cstheme="majorBidi"/>
      <w:color w:val="2F5496" w:themeColor="accent1" w:themeShade="BF"/>
      <w:sz w:val="24"/>
      <w:szCs w:val="24"/>
    </w:rPr>
  </w:style>
  <w:style w:type="character" w:customStyle="1" w:styleId="60">
    <w:name w:val="标题 6 字符"/>
    <w:basedOn w:val="a0"/>
    <w:link w:val="6"/>
    <w:uiPriority w:val="9"/>
    <w:semiHidden/>
    <w:rsid w:val="00D07E66"/>
    <w:rPr>
      <w:rFonts w:cstheme="majorBidi"/>
      <w:b/>
      <w:bCs/>
      <w:color w:val="2F5496" w:themeColor="accent1" w:themeShade="BF"/>
    </w:rPr>
  </w:style>
  <w:style w:type="character" w:customStyle="1" w:styleId="70">
    <w:name w:val="标题 7 字符"/>
    <w:basedOn w:val="a0"/>
    <w:link w:val="7"/>
    <w:uiPriority w:val="9"/>
    <w:semiHidden/>
    <w:rsid w:val="00D07E66"/>
    <w:rPr>
      <w:rFonts w:cstheme="majorBidi"/>
      <w:b/>
      <w:bCs/>
      <w:color w:val="595959" w:themeColor="text1" w:themeTint="A6"/>
    </w:rPr>
  </w:style>
  <w:style w:type="character" w:customStyle="1" w:styleId="80">
    <w:name w:val="标题 8 字符"/>
    <w:basedOn w:val="a0"/>
    <w:link w:val="8"/>
    <w:uiPriority w:val="9"/>
    <w:semiHidden/>
    <w:rsid w:val="00D07E66"/>
    <w:rPr>
      <w:rFonts w:cstheme="majorBidi"/>
      <w:color w:val="595959" w:themeColor="text1" w:themeTint="A6"/>
    </w:rPr>
  </w:style>
  <w:style w:type="character" w:customStyle="1" w:styleId="90">
    <w:name w:val="标题 9 字符"/>
    <w:basedOn w:val="a0"/>
    <w:link w:val="9"/>
    <w:uiPriority w:val="9"/>
    <w:semiHidden/>
    <w:rsid w:val="00D07E66"/>
    <w:rPr>
      <w:rFonts w:eastAsiaTheme="majorEastAsia" w:cstheme="majorBidi"/>
      <w:color w:val="595959" w:themeColor="text1" w:themeTint="A6"/>
    </w:rPr>
  </w:style>
  <w:style w:type="paragraph" w:styleId="a3">
    <w:name w:val="Title"/>
    <w:basedOn w:val="a"/>
    <w:next w:val="a"/>
    <w:link w:val="a4"/>
    <w:uiPriority w:val="10"/>
    <w:qFormat/>
    <w:rsid w:val="00D07E6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07E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07E6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07E6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07E66"/>
    <w:pPr>
      <w:spacing w:before="160" w:after="160"/>
      <w:jc w:val="center"/>
    </w:pPr>
    <w:rPr>
      <w:i/>
      <w:iCs/>
      <w:color w:val="404040" w:themeColor="text1" w:themeTint="BF"/>
    </w:rPr>
  </w:style>
  <w:style w:type="character" w:customStyle="1" w:styleId="a8">
    <w:name w:val="引用 字符"/>
    <w:basedOn w:val="a0"/>
    <w:link w:val="a7"/>
    <w:uiPriority w:val="29"/>
    <w:rsid w:val="00D07E66"/>
    <w:rPr>
      <w:i/>
      <w:iCs/>
      <w:color w:val="404040" w:themeColor="text1" w:themeTint="BF"/>
    </w:rPr>
  </w:style>
  <w:style w:type="paragraph" w:styleId="a9">
    <w:name w:val="List Paragraph"/>
    <w:basedOn w:val="a"/>
    <w:uiPriority w:val="34"/>
    <w:qFormat/>
    <w:rsid w:val="00D07E66"/>
    <w:pPr>
      <w:ind w:left="720"/>
      <w:contextualSpacing/>
    </w:pPr>
  </w:style>
  <w:style w:type="character" w:styleId="aa">
    <w:name w:val="Intense Emphasis"/>
    <w:basedOn w:val="a0"/>
    <w:uiPriority w:val="21"/>
    <w:qFormat/>
    <w:rsid w:val="00D07E66"/>
    <w:rPr>
      <w:i/>
      <w:iCs/>
      <w:color w:val="2F5496" w:themeColor="accent1" w:themeShade="BF"/>
    </w:rPr>
  </w:style>
  <w:style w:type="paragraph" w:styleId="ab">
    <w:name w:val="Intense Quote"/>
    <w:basedOn w:val="a"/>
    <w:next w:val="a"/>
    <w:link w:val="ac"/>
    <w:uiPriority w:val="30"/>
    <w:qFormat/>
    <w:rsid w:val="00D07E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D07E66"/>
    <w:rPr>
      <w:i/>
      <w:iCs/>
      <w:color w:val="2F5496" w:themeColor="accent1" w:themeShade="BF"/>
    </w:rPr>
  </w:style>
  <w:style w:type="character" w:styleId="ad">
    <w:name w:val="Intense Reference"/>
    <w:basedOn w:val="a0"/>
    <w:uiPriority w:val="32"/>
    <w:qFormat/>
    <w:rsid w:val="00D07E6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cp:revision>
  <dcterms:created xsi:type="dcterms:W3CDTF">2025-11-24T09:27:00Z</dcterms:created>
  <dcterms:modified xsi:type="dcterms:W3CDTF">2025-11-24T09:29:00Z</dcterms:modified>
</cp:coreProperties>
</file>